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69" w:rsidRPr="007C1269" w:rsidRDefault="007C1269" w:rsidP="007C1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C1269">
        <w:rPr>
          <w:rFonts w:ascii="Times New Roman" w:eastAsia="Times New Roman" w:hAnsi="Times New Roman" w:cs="Times New Roman"/>
          <w:sz w:val="32"/>
          <w:szCs w:val="32"/>
          <w:lang w:eastAsia="ru-RU"/>
        </w:rPr>
        <w:t>БРЯНСКАЯ ОБЛАСТЬ</w:t>
      </w:r>
    </w:p>
    <w:p w:rsidR="007C1269" w:rsidRPr="007C1269" w:rsidRDefault="007C1269" w:rsidP="007C1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269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БРАСОВСКИЙ РАЙОН</w:t>
      </w:r>
    </w:p>
    <w:p w:rsidR="007C1269" w:rsidRPr="007C1269" w:rsidRDefault="007C1269" w:rsidP="007C1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26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ГЛОДНЕВСКАЯ СЕЛЬСКАЯ АДМИНИСТРАЦИЯ</w:t>
      </w:r>
    </w:p>
    <w:p w:rsidR="007C1269" w:rsidRPr="007C1269" w:rsidRDefault="007C1269" w:rsidP="007C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269" w:rsidRPr="007C1269" w:rsidRDefault="007C1269" w:rsidP="007C1269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D92E" wp14:editId="0569639A">
                <wp:simplePos x="0" y="0"/>
                <wp:positionH relativeFrom="column">
                  <wp:posOffset>-398780</wp:posOffset>
                </wp:positionH>
                <wp:positionV relativeFrom="paragraph">
                  <wp:posOffset>99695</wp:posOffset>
                </wp:positionV>
                <wp:extent cx="6583680" cy="0"/>
                <wp:effectExtent l="39370" t="42545" r="44450" b="431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pt,7.85pt" to="48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K/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7C1269" w:rsidRPr="007C1269" w:rsidRDefault="007C1269" w:rsidP="007C12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</w:p>
    <w:p w:rsidR="00EC60A6" w:rsidRPr="008308CC" w:rsidRDefault="00EC60A6" w:rsidP="008308C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8308CC" w:rsidRPr="007C1269" w:rsidRDefault="008308CC" w:rsidP="008308CC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ПОСТАНОВЛЕНИЕ</w:t>
      </w:r>
    </w:p>
    <w:p w:rsidR="009A3645" w:rsidRPr="005C5A19" w:rsidRDefault="009A3645" w:rsidP="005C5A1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8308CC" w:rsidRP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</w:t>
      </w:r>
      <w:r w:rsidRP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20.04.2020г.</w:t>
      </w:r>
      <w:r w:rsidR="008308CC" w:rsidRP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</w:t>
      </w:r>
      <w:r w:rsidRP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5</w:t>
      </w:r>
    </w:p>
    <w:p w:rsidR="00EC60A6" w:rsidRPr="005C5A19" w:rsidRDefault="008308CC" w:rsidP="005C5A1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с. </w:t>
      </w:r>
      <w:r w:rsidR="007C1269" w:rsidRP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Глоднево</w:t>
      </w:r>
    </w:p>
    <w:p w:rsidR="00EC60A6" w:rsidRPr="007C1269" w:rsidRDefault="00EC60A6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EC60A6" w:rsidRPr="007C1269" w:rsidRDefault="00EC60A6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08CC" w:rsidRPr="007C1269" w:rsidRDefault="008308CC" w:rsidP="007C126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утверждении Порядка формирования</w:t>
      </w:r>
    </w:p>
    <w:p w:rsidR="008308CC" w:rsidRPr="007C1269" w:rsidRDefault="008308CC" w:rsidP="007C126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перечня налоговых расходов и оценки</w:t>
      </w:r>
    </w:p>
    <w:p w:rsidR="00EC60A6" w:rsidRPr="007C1269" w:rsidRDefault="008308CC" w:rsidP="007C126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налоговых расходов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proofErr w:type="gramEnd"/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EC60A6" w:rsidRPr="007C1269" w:rsidRDefault="00EC60A6" w:rsidP="007C126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Брасовского муниципального района </w:t>
      </w:r>
    </w:p>
    <w:p w:rsidR="008308CC" w:rsidRPr="007C1269" w:rsidRDefault="00EC60A6" w:rsidP="007C126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Брянской области </w:t>
      </w:r>
    </w:p>
    <w:p w:rsidR="00EC60A6" w:rsidRPr="007C1269" w:rsidRDefault="00EC60A6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со статьей 174.3 Бюджетного кодекса Российской Федерации,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C2483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</w:t>
      </w:r>
      <w:r w:rsidR="00FF4845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Глодневская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сельская администрация 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Брасовского муниципального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Брянской области постановляет:</w:t>
      </w:r>
    </w:p>
    <w:p w:rsidR="00EC60A6" w:rsidRPr="007C1269" w:rsidRDefault="008308CC" w:rsidP="00EC60A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Утвердить </w:t>
      </w:r>
      <w:r w:rsidR="00606C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прилагаемый </w:t>
      </w:r>
      <w:hyperlink r:id="rId7" w:anchor="Par28" w:history="1">
        <w:proofErr w:type="gramStart"/>
        <w:r w:rsidR="00EC60A6" w:rsidRPr="007C1269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</w:hyperlink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орядок формирования перечня налоговых расходов и оценки налоговых расходов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Брасовского муниципального района Брянской области </w:t>
      </w:r>
    </w:p>
    <w:p w:rsidR="00CC2483" w:rsidRPr="007C1269" w:rsidRDefault="00CC2483" w:rsidP="00EC60A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</w:t>
      </w:r>
      <w:r w:rsidR="002E7F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Признать утратившим силу постановление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Глодневской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сельской администрации  от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03.10.201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 №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«Об утверждении порядка оценки эффективности предоставленных и планируемых к предоставлению налоговых льгот»</w:t>
      </w:r>
    </w:p>
    <w:p w:rsidR="00606CDE" w:rsidRDefault="00B63DFF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Постановление вступает в силу со дня его официального опубликования</w:t>
      </w:r>
      <w:r w:rsidR="00606C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606CDE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сети Интернет.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C60A6" w:rsidRPr="007C1269" w:rsidRDefault="00EC60A6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C60A6" w:rsidRPr="007C1269" w:rsidRDefault="00EC60A6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C60A6" w:rsidRPr="007C1269" w:rsidRDefault="00EC60A6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сельской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</w:t>
      </w:r>
      <w:r w:rsid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Е.В. Бушуева</w:t>
      </w:r>
      <w:r w:rsidR="00EC60A6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308CC" w:rsidRPr="007C1269" w:rsidRDefault="008308CC" w:rsidP="008308CC">
      <w:pPr>
        <w:spacing w:after="0" w:line="238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7C1269" w:rsidRDefault="007C1269" w:rsidP="009A364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C5A19" w:rsidRDefault="005C5A19" w:rsidP="009A364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3645" w:rsidRPr="007C1269" w:rsidRDefault="009A3645" w:rsidP="009A364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Pr="007C1269" w:rsidRDefault="008308CC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Утвержден</w:t>
      </w:r>
    </w:p>
    <w:p w:rsidR="008308CC" w:rsidRPr="007C1269" w:rsidRDefault="00EC60A6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остановлением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Глодневской</w:t>
      </w:r>
    </w:p>
    <w:p w:rsidR="008308CC" w:rsidRPr="007C1269" w:rsidRDefault="008308CC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сельской администрации</w:t>
      </w:r>
    </w:p>
    <w:p w:rsidR="008308CC" w:rsidRPr="007C1269" w:rsidRDefault="00EC60A6" w:rsidP="007C1269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20.04.2020г.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</w:t>
      </w:r>
      <w:r w:rsidR="005C5A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5</w:t>
      </w:r>
    </w:p>
    <w:p w:rsidR="008308CC" w:rsidRPr="007C1269" w:rsidRDefault="00FA6767" w:rsidP="008308CC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hyperlink r:id="rId8" w:anchor="Par28" w:history="1">
        <w:proofErr w:type="gramStart"/>
        <w:r w:rsidR="008308CC" w:rsidRPr="007C1269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</w:hyperlink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орядок</w:t>
      </w:r>
    </w:p>
    <w:p w:rsidR="0080213B" w:rsidRPr="007C1269" w:rsidRDefault="008308CC" w:rsidP="0080213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формирования перечня налоговых расходов и оценки налоговых расходов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Брасовского муниципального района Брянской области </w:t>
      </w:r>
    </w:p>
    <w:p w:rsidR="008308CC" w:rsidRPr="007C1269" w:rsidRDefault="008308CC" w:rsidP="008308CC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I. Общие положения</w:t>
      </w:r>
    </w:p>
    <w:p w:rsidR="0080213B" w:rsidRPr="007C1269" w:rsidRDefault="008308CC" w:rsidP="0080213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</w:t>
      </w:r>
    </w:p>
    <w:p w:rsidR="008308CC" w:rsidRPr="007C1269" w:rsidRDefault="0080213B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Брасовского муниципального района Брянской области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Налоговые расходы 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выпадающие доходы бюджета 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(или) целями социально-экономической политики 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не относящимися к муниципальным программам.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Перечень налоговых расходов 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содержит сведения о распределении налоговых расходов 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соответствии с целями муниципальных программ и их структурных элементов и (или) целями социально-экономической политики 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относящимися к муниципальным программам </w:t>
      </w:r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80213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 также о кураторах налоговых расходов.</w:t>
      </w:r>
    </w:p>
    <w:p w:rsidR="005E730F" w:rsidRDefault="00606CDE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Куратор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налоговых расходов-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орган местного самоуправления, (организация), ответственный в соответствии с полномочиями, установленными нормативными правовыми актами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достижение соответствующих налоговому расходу целей муниципальных программ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(или) целей социально-экономической политики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относящихся к муниципальным программам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Перечень налоговых расходов (налоговых льгот)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включает все налоговые расходы (налоговые льготы), установленные нормативными правовыми актами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Налоговые расходы (налоговые льготы), соответствующие целям социально-экономической политики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реализуемые в рамках нескольких муниципальных программ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относятся к нераспределенным налоговым расходам (налоговым льготам).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308CC" w:rsidRPr="007C1269" w:rsidRDefault="008308CC" w:rsidP="008308CC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 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Нормативные характеристики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9" w:anchor="Par133" w:history="1">
        <w:r w:rsidRPr="007C1269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proofErr w:type="gramEnd"/>
    </w:p>
    <w:p w:rsidR="008308CC" w:rsidRPr="007C1269" w:rsidRDefault="008308CC" w:rsidP="008308CC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10.Фискальные характеристики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сведения об объеме льгот, предоставленных плательщикам, о численности получателей льгот, об объеме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налогов, сборов, задекларированных ими для уплаты в местный бюджет, предусмотренные </w:t>
      </w:r>
      <w:hyperlink r:id="rId10" w:anchor="Par133" w:history="1">
        <w:r w:rsidRPr="007C1269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Порядку.</w:t>
      </w:r>
    </w:p>
    <w:p w:rsidR="008308CC" w:rsidRPr="007C1269" w:rsidRDefault="008308CC" w:rsidP="008308CC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11.Целевые характеристики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1" w:anchor="Par133" w:history="1">
        <w:r w:rsidRPr="007C1269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12.Оценка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-к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омплекс мероприятий по оценке объемов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13. Оценка объемов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proofErr w:type="gramStart"/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пределение объемов выпадающих доходов бюджетов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обусловленных льготами, предоставленными плательщикам.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14. Оценка эффективности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-к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15. Социальные налоговые расходы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9A36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целевая категория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обусловленных необходимостью обеспечения социальной защиты (поддержки) населения.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16. Стимулирующие налоговые расходы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9A36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целевая категория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17. Технические налоговые расходы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9A36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целевая категория налоговых расходов 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18. В целях оценки налоговых расходов </w:t>
      </w:r>
      <w:r w:rsidR="00FF4845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Глодневская</w:t>
      </w:r>
      <w:r w:rsidR="00315C6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сельская администрация 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формирует перечень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)ф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ормирует оценку объемов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отчетный финансовый год, а также оценку объемов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текущий финансовый год, очередной финансовый год и плановый период;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в) осуществляет обобщение 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результатов оценки эффективности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19. В целях оценки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налоговый орган формирует, и представляют в </w:t>
      </w:r>
      <w:r w:rsid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Глодневскую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сельскую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администрацию в отношении каждого налогового расхода информацию о фискальных характеристиках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отчетный финансовый год, а также информацию о стимулирующих налоговых расходах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6 лет, предшествующих отчетному финансовому году.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20. В целях оценки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кураторы налоговых расходов:</w:t>
      </w:r>
    </w:p>
    <w:p w:rsidR="008308CC" w:rsidRPr="007C1269" w:rsidRDefault="008308CC" w:rsidP="008308CC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формируют информацию о нормативных, целевых и фискальных характеристиках налоговых расходов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предусмотренную </w:t>
      </w:r>
      <w:hyperlink r:id="rId12" w:anchor="Par133" w:history="1">
        <w:r w:rsidRPr="007C1269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осуществляют оценку эффективности каждого курируемого налогового расхода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направляют результаты такой оценки в </w:t>
      </w:r>
      <w:r w:rsidR="00962E7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финансовый отдел администрации района.</w:t>
      </w:r>
    </w:p>
    <w:p w:rsidR="008308CC" w:rsidRPr="007C1269" w:rsidRDefault="008308CC" w:rsidP="007C126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II. Формирование перечня налоговых расходов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82CA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</w:p>
    <w:p w:rsidR="00E3707C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3707C" w:rsidRPr="00E3707C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42424"/>
          <w:sz w:val="26"/>
          <w:szCs w:val="26"/>
        </w:rPr>
        <w:lastRenderedPageBreak/>
        <w:t xml:space="preserve">21. </w:t>
      </w:r>
      <w:r w:rsidRPr="00E3707C">
        <w:rPr>
          <w:rFonts w:ascii="Times New Roman" w:eastAsia="Calibri" w:hAnsi="Times New Roman" w:cs="Times New Roman"/>
          <w:color w:val="242424"/>
          <w:sz w:val="24"/>
          <w:szCs w:val="24"/>
        </w:rPr>
        <w:t>Проект перечня налоговых расходов поселения на очередной финансовый год и плановый период (далее-проект перечня налоговых расходов) формируется администрацией ежегодно до 30 сентября текущего финансового года;</w:t>
      </w:r>
    </w:p>
    <w:p w:rsidR="008308CC" w:rsidRPr="007C1269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Перечень налоговых расходов </w:t>
      </w:r>
      <w:r w:rsidR="00582CA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очередной финансовый год формируется до 15 ноября</w:t>
      </w:r>
      <w:r w:rsidR="00C74DF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случае уточнения структурных элементов муниципальных программ </w:t>
      </w:r>
      <w:r w:rsidR="00C74DF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в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8308CC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В срок, не позднее 15 рабочих дней после завершения процедур, установленных в пункте 2</w:t>
      </w:r>
      <w:r w:rsidR="00060F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настоящего Порядка, перечень налоговых расходов </w:t>
      </w:r>
      <w:r w:rsidR="00C74DF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размещается на официальном сайте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Глодневской</w:t>
      </w:r>
      <w:r w:rsidR="00C74DF8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сельской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  в информационно-телекоммуникационной сети «Интернет».</w:t>
      </w:r>
    </w:p>
    <w:p w:rsidR="00E3707C" w:rsidRPr="00E3707C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42424"/>
          <w:sz w:val="24"/>
          <w:szCs w:val="24"/>
        </w:rPr>
        <w:t xml:space="preserve">24. </w:t>
      </w:r>
      <w:r w:rsidRPr="00E3707C">
        <w:rPr>
          <w:rFonts w:ascii="Times New Roman" w:eastAsia="Calibri" w:hAnsi="Times New Roman" w:cs="Times New Roman"/>
          <w:color w:val="242424"/>
          <w:sz w:val="24"/>
          <w:szCs w:val="24"/>
        </w:rPr>
        <w:t>В случае внесения изменений в перечень муниципальных программ муниципального образования, структурные элементы муниципальных программ поселения и (или) в случае изменения полномочий органов и организаций, указанных в  </w:t>
      </w:r>
      <w:hyperlink r:id="rId13" w:anchor="Par62" w:history="1">
        <w:r w:rsidRPr="00E3707C">
          <w:rPr>
            <w:rFonts w:ascii="Times New Roman" w:eastAsia="Calibri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</w:rPr>
          <w:t>пункте </w:t>
        </w:r>
      </w:hyperlink>
      <w:r w:rsidRPr="00E3707C">
        <w:rPr>
          <w:rFonts w:ascii="Times New Roman" w:eastAsia="Calibri" w:hAnsi="Times New Roman" w:cs="Times New Roman"/>
          <w:sz w:val="24"/>
          <w:szCs w:val="24"/>
        </w:rPr>
        <w:t>21</w:t>
      </w:r>
      <w:r w:rsidRPr="00E3707C">
        <w:rPr>
          <w:rFonts w:ascii="Times New Roman" w:eastAsia="Calibri" w:hAnsi="Times New Roman" w:cs="Times New Roman"/>
          <w:color w:val="242424"/>
          <w:sz w:val="24"/>
          <w:szCs w:val="24"/>
        </w:rPr>
        <w:t xml:space="preserve">  настоящего Порядка, в </w:t>
      </w:r>
      <w:proofErr w:type="gramStart"/>
      <w:r w:rsidRPr="00E3707C">
        <w:rPr>
          <w:rFonts w:ascii="Times New Roman" w:eastAsia="Calibri" w:hAnsi="Times New Roman" w:cs="Times New Roman"/>
          <w:color w:val="242424"/>
          <w:sz w:val="24"/>
          <w:szCs w:val="24"/>
        </w:rPr>
        <w:t>связи</w:t>
      </w:r>
      <w:proofErr w:type="gramEnd"/>
      <w:r w:rsidRPr="00E3707C">
        <w:rPr>
          <w:rFonts w:ascii="Times New Roman" w:eastAsia="Calibri" w:hAnsi="Times New Roman" w:cs="Times New Roman"/>
          <w:color w:val="242424"/>
          <w:sz w:val="24"/>
          <w:szCs w:val="24"/>
        </w:rPr>
        <w:t xml:space="preserve"> с которыми возникает необходимость внесения изменений в перечень налоговых расходов поселения,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поселения.</w:t>
      </w:r>
    </w:p>
    <w:p w:rsidR="008308CC" w:rsidRPr="007C1269" w:rsidRDefault="008308CC" w:rsidP="008308CC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III. Порядок оценки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</w:p>
    <w:p w:rsidR="008308CC" w:rsidRPr="007C1269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Методики оценки эффективности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разрабатываютс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 кураторами налоговых расходов и утверждаются по согласованию  с финансовым отделом.</w:t>
      </w:r>
    </w:p>
    <w:p w:rsidR="008308CC" w:rsidRPr="007C1269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26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Оценка эффективности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(в том числе нераспределенных) осуществляется кураторами налоговых расходов и включает: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оценку целесообразности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оценку результативности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308CC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целях оценки эффективности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="00FF4845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Глодневская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дминистрация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формирует ежегодно, до </w:t>
      </w:r>
      <w:r w:rsidR="00E3707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30 июня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текущего финансового года, оценку фактических объемов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основании информации налогового органа.</w:t>
      </w:r>
      <w:proofErr w:type="gramEnd"/>
    </w:p>
    <w:p w:rsidR="00E3707C" w:rsidRPr="00E3707C" w:rsidRDefault="00E3707C" w:rsidP="00440910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В срок до 1 августа кураторы налоговых расходов осуществляют оценку эффективности налоговых расходов и представляют в администрацию следующую информацию:</w:t>
      </w:r>
    </w:p>
    <w:p w:rsidR="00E3707C" w:rsidRPr="00E3707C" w:rsidRDefault="00E3707C" w:rsidP="00440910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цель предоставления налоговых льгот;</w:t>
      </w:r>
    </w:p>
    <w:p w:rsidR="00E3707C" w:rsidRPr="00E3707C" w:rsidRDefault="00E3707C" w:rsidP="00440910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показатель достижения целей муниципальной программы </w:t>
      </w:r>
      <w:r w:rsidR="00440910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сельского поселения Брасовско</w:t>
      </w:r>
      <w:r w:rsidR="00440910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го муниципального</w:t>
      </w: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района Брянской области и (или) социально-экономической политики поселения  в связи с предоставлением налоговых льгот;</w:t>
      </w:r>
    </w:p>
    <w:p w:rsidR="00E3707C" w:rsidRPr="00E3707C" w:rsidRDefault="00E3707C" w:rsidP="00440910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E3707C" w:rsidRPr="00E3707C" w:rsidRDefault="00E3707C" w:rsidP="00440910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результат оценки эффективности налогового расхода;</w:t>
      </w:r>
    </w:p>
    <w:p w:rsidR="00E3707C" w:rsidRPr="00E3707C" w:rsidRDefault="00E3707C" w:rsidP="00440910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вывод о целесообразности продления или отмены налоговых льгот;</w:t>
      </w:r>
    </w:p>
    <w:p w:rsidR="00E3707C" w:rsidRPr="00E3707C" w:rsidRDefault="00E3707C" w:rsidP="00440910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r w:rsidR="00440910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сельского поселения Брасовского муниципального района Брянской области и (или) целей социально-экономической политики поселения;</w:t>
      </w:r>
    </w:p>
    <w:p w:rsidR="00E3707C" w:rsidRPr="00E3707C" w:rsidRDefault="00E3707C" w:rsidP="00440910">
      <w:pPr>
        <w:spacing w:after="0" w:line="317" w:lineRule="atLeast"/>
        <w:rPr>
          <w:rFonts w:ascii="Arial" w:eastAsia="Calibri" w:hAnsi="Arial" w:cs="Arial"/>
          <w:color w:val="242424"/>
          <w:sz w:val="26"/>
          <w:szCs w:val="26"/>
          <w:lang w:eastAsia="ru-RU"/>
        </w:rPr>
      </w:pPr>
      <w:r w:rsidRPr="00E3707C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до 15 августа администрация осуществляет сверку информации, предоставляемой кураторами налоговых расходов, оценку совокупного бюджетного эффекта стимулирующих налоговых расходов.</w:t>
      </w:r>
    </w:p>
    <w:p w:rsidR="00E3707C" w:rsidRPr="007C1269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Pr="007C1269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Критериями целесообразности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являются: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соответствие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целям муниципальных программ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их структурных элементов и (или) целям социально-экономической политики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относящимся к муниципальным программам муниципального образования (в отношении непрограммных налоговых расходов);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308CC" w:rsidRDefault="008308CC" w:rsidP="008308CC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E3707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В случае несоответствия налоговых расходов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хотя бы одному из критериев, указанных в </w:t>
      </w:r>
      <w:hyperlink r:id="rId14" w:anchor="Par80" w:history="1">
        <w:r w:rsidRPr="007C1269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bdr w:val="none" w:sz="0" w:space="0" w:color="auto" w:frame="1"/>
            <w:lang w:eastAsia="ru-RU"/>
          </w:rPr>
          <w:t>пункте </w:t>
        </w:r>
      </w:hyperlink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4409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7C1269" w:rsidRPr="007C1269" w:rsidRDefault="007C1269" w:rsidP="008308CC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E3707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В качестве критерия результативности налогового расхода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определяется не менее одного показателя (индикатора) достижения целей муниципальной программы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(или) целей социально-экономической политики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не относящихся к муниципальным программам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 w:rsidR="00757F61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5318EA" w:rsidRDefault="00E3707C" w:rsidP="005318EA">
      <w:pPr>
        <w:pStyle w:val="a6"/>
        <w:spacing w:after="0" w:line="317" w:lineRule="atLeast"/>
        <w:rPr>
          <w:rFonts w:eastAsia="Calibri"/>
          <w:color w:val="242424"/>
          <w:lang w:eastAsia="ru-RU"/>
        </w:rPr>
      </w:pPr>
      <w:r w:rsidRPr="005318EA">
        <w:rPr>
          <w:rFonts w:eastAsia="Times New Roman"/>
          <w:color w:val="242424"/>
          <w:lang w:eastAsia="ru-RU"/>
        </w:rPr>
        <w:t>30</w:t>
      </w:r>
      <w:r w:rsidR="008308CC" w:rsidRPr="005318EA">
        <w:rPr>
          <w:rFonts w:eastAsia="Times New Roman"/>
          <w:color w:val="242424"/>
          <w:lang w:eastAsia="ru-RU"/>
        </w:rPr>
        <w:t xml:space="preserve">. </w:t>
      </w:r>
      <w:r w:rsidR="005318EA" w:rsidRPr="005318EA">
        <w:rPr>
          <w:rFonts w:eastAsia="Calibri"/>
          <w:color w:val="242424"/>
          <w:lang w:eastAsia="ru-RU"/>
        </w:rPr>
        <w:t>Для оценки результативности налоговых расходов муниципального образования по критерию, указанному в пункте 29 настоящего Порядка, куратором налогового расхода рассчитывается оценка бюджетной эффективности налоговых расходов муниципального образования.</w:t>
      </w:r>
    </w:p>
    <w:p w:rsidR="005318EA" w:rsidRPr="005318EA" w:rsidRDefault="005318EA" w:rsidP="005318EA">
      <w:pPr>
        <w:pStyle w:val="a6"/>
        <w:spacing w:after="0" w:line="317" w:lineRule="atLeast"/>
        <w:rPr>
          <w:rFonts w:eastAsia="Calibri"/>
          <w:color w:val="242424"/>
          <w:lang w:eastAsia="ru-RU"/>
        </w:rPr>
      </w:pP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31.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сумма налоговых расходов поселения;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налоговые платежи в  бюджет поселения;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сумма субсидий, предоставленных из бюджета поселения;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сумма иной поддержки, предоставленной из бюджета поселения.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Расчет оценки бюджетной эффективности налоговых расходов поселения производится по формуле: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lastRenderedPageBreak/>
        <w:t>БЭ= СН – (</w:t>
      </w:r>
      <w:proofErr w:type="gramStart"/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СБ</w:t>
      </w:r>
      <w:proofErr w:type="gramEnd"/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+ СГП + СНЛ), где: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БЭ – бюджетная эффективность;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СН – сумма уплаченных налогов;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СБ</w:t>
      </w:r>
      <w:proofErr w:type="gramEnd"/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– сумма субсидий, предоставленных из бюджета муниципального района;</w:t>
      </w:r>
    </w:p>
    <w:p w:rsidR="005318EA" w:rsidRPr="005318EA" w:rsidRDefault="005318EA" w:rsidP="005318EA">
      <w:pPr>
        <w:spacing w:after="0"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СГП – сумма иной поддержки, предоставленной из бюджета муниципального района;</w:t>
      </w:r>
    </w:p>
    <w:p w:rsidR="005318EA" w:rsidRPr="005318EA" w:rsidRDefault="005318EA" w:rsidP="005318EA">
      <w:pPr>
        <w:spacing w:after="150" w:line="238" w:lineRule="atLeast"/>
        <w:rPr>
          <w:rFonts w:ascii="Times New Roman" w:eastAsia="Calibri" w:hAnsi="Times New Roman" w:cs="Times New Roman"/>
          <w:color w:val="242424"/>
          <w:sz w:val="24"/>
          <w:szCs w:val="24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</w:rPr>
        <w:t>СНЛ – сумма, предоставленных налоговых льгот.</w:t>
      </w:r>
    </w:p>
    <w:p w:rsidR="008308CC" w:rsidRPr="007C1269" w:rsidRDefault="008308CC" w:rsidP="005318E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308CC" w:rsidRPr="007C1269" w:rsidRDefault="00E3707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5318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proofErr w:type="gramStart"/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</w:t>
      </w:r>
      <w:proofErr w:type="gramEnd"/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5318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В качестве альтернативных 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механизмов достижения целей муниципальной программы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End"/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(или) целей социально-экономической политики муниципального образования, не относящихся к муниципальным программам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могут учитываться в том числе: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предоставление муниципальных гарантий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обязательствам плательщиков, имеющих право на льготы;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5318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По итогам оценки эффективности налогового расхода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-о значимости вклада налогового расхода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достижение соответствующих показателей (индикаторов);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308CC" w:rsidRPr="007C1269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5318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По результатам оценки эффективности соответствующих налоговых расходов куратор налогового расхода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8308CC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Результаты оценки эффективности налоговых расходов </w:t>
      </w:r>
      <w:r w:rsidR="005318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рекомендации по результатам указанной оценки направляются кураторами налоговых расходов в </w:t>
      </w:r>
      <w:r w:rsidR="007C1269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Глодневскую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сельскую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администрацию ежегодно до </w:t>
      </w:r>
      <w:r w:rsidR="005318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 августа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текущего финансового года для обобщения.</w:t>
      </w:r>
    </w:p>
    <w:p w:rsidR="005318EA" w:rsidRPr="005318EA" w:rsidRDefault="005318EA" w:rsidP="005318EA">
      <w:pPr>
        <w:spacing w:line="317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36. Администрация по результатам проведенной оценки налоговых расходов поселения ежегодно, до 1 сентября готовит аналитическую записку, которая предоставляется главе </w:t>
      </w:r>
      <w:r w:rsidRPr="005318EA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lastRenderedPageBreak/>
        <w:t>администрации муниципального образования, размещает информацию о результатах оценки налоговых расходов на официальном сайте муниципального образования в информационно - телекоммуникационной сети «Интернет».</w:t>
      </w:r>
    </w:p>
    <w:p w:rsidR="005318EA" w:rsidRPr="007C1269" w:rsidRDefault="005318EA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Default="008308CC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4D0B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Результаты оценки налоговых расходов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учитываются при формировании основных направлений бюджетной, налоговой и долговой политики </w:t>
      </w:r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  <w:proofErr w:type="gramStart"/>
      <w:r w:rsidR="007D1E10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 также при проведении оценки эффективности реализации муниципальных программ.</w:t>
      </w:r>
    </w:p>
    <w:p w:rsidR="009A3645" w:rsidRDefault="009A3645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C1269" w:rsidRPr="007C1269" w:rsidRDefault="007C1269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Pr="007C1269" w:rsidRDefault="008308CC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</w:t>
      </w:r>
      <w:r w:rsidR="005318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</w:t>
      </w:r>
    </w:p>
    <w:p w:rsidR="008308CC" w:rsidRPr="007C1269" w:rsidRDefault="008308CC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Порядку формирования перечня</w:t>
      </w:r>
    </w:p>
    <w:p w:rsidR="008308CC" w:rsidRPr="007C1269" w:rsidRDefault="008308CC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 и оценки налоговых</w:t>
      </w:r>
    </w:p>
    <w:p w:rsidR="007D1E10" w:rsidRPr="007C1269" w:rsidRDefault="007D1E10" w:rsidP="009A364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</w:t>
      </w:r>
      <w:r w:rsidR="009A36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</w:t>
      </w:r>
      <w:r w:rsidR="008308CC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расходов </w:t>
      </w:r>
      <w:r w:rsidR="000601AB"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Глодневского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proofErr w:type="gramEnd"/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7D1E10" w:rsidRPr="007C1269" w:rsidRDefault="007D1E10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</w:t>
      </w:r>
      <w:r w:rsidR="009A36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</w:t>
      </w: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Брасовского муниципального    </w:t>
      </w:r>
    </w:p>
    <w:p w:rsidR="008308CC" w:rsidRPr="007C1269" w:rsidRDefault="007D1E10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C12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района Брянской области</w:t>
      </w:r>
    </w:p>
    <w:p w:rsidR="007C1269" w:rsidRPr="007C1269" w:rsidRDefault="007C1269" w:rsidP="007C126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318EA" w:rsidRDefault="005318EA" w:rsidP="005318EA">
      <w:pPr>
        <w:spacing w:after="0" w:line="238" w:lineRule="atLeast"/>
        <w:jc w:val="center"/>
        <w:rPr>
          <w:rFonts w:ascii="Times New Roman" w:eastAsia="Calibri" w:hAnsi="Times New Roman" w:cs="Times New Roman"/>
          <w:bCs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bCs/>
          <w:color w:val="242424"/>
          <w:sz w:val="24"/>
          <w:szCs w:val="24"/>
          <w:lang w:eastAsia="ru-RU"/>
        </w:rPr>
        <w:t xml:space="preserve">Информация о нормативных, целевых и фискальных характеристиках налоговых расходов Глодневского сельского поселения </w:t>
      </w:r>
    </w:p>
    <w:p w:rsidR="005318EA" w:rsidRPr="005318EA" w:rsidRDefault="005318EA" w:rsidP="005318EA">
      <w:pPr>
        <w:spacing w:after="0" w:line="238" w:lineRule="atLeast"/>
        <w:jc w:val="center"/>
        <w:rPr>
          <w:rFonts w:ascii="Times New Roman" w:eastAsia="Calibri" w:hAnsi="Times New Roman" w:cs="Times New Roman"/>
          <w:bCs/>
          <w:color w:val="242424"/>
          <w:sz w:val="24"/>
          <w:szCs w:val="24"/>
          <w:lang w:eastAsia="ru-RU"/>
        </w:rPr>
      </w:pPr>
      <w:r w:rsidRPr="005318EA">
        <w:rPr>
          <w:rFonts w:ascii="Times New Roman" w:eastAsia="Calibri" w:hAnsi="Times New Roman" w:cs="Times New Roman"/>
          <w:bCs/>
          <w:color w:val="242424"/>
          <w:sz w:val="24"/>
          <w:szCs w:val="24"/>
          <w:lang w:eastAsia="ru-RU"/>
        </w:rPr>
        <w:t>Брасовского муниципального района Брянской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618"/>
        <w:gridCol w:w="2437"/>
      </w:tblGrid>
      <w:tr w:rsidR="008308CC" w:rsidRPr="007C1269" w:rsidTr="008308C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8308CC" w:rsidRPr="007C1269" w:rsidTr="008308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7D1E1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I. Нормативные характеристики налогового расхода </w:t>
            </w:r>
            <w:r w:rsidR="007D1E10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</w:t>
            </w:r>
            <w:proofErr w:type="gramStart"/>
            <w:r w:rsidR="007D1E10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</w:t>
            </w:r>
            <w:proofErr w:type="gramEnd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далее-налоговый расход)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7D1E1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II. Целевые характеристики налогового расхода </w:t>
            </w:r>
            <w:r w:rsidR="007D1E10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целях</w:t>
            </w:r>
            <w:proofErr w:type="gramEnd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целях</w:t>
            </w:r>
            <w:proofErr w:type="gramEnd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поселения 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 (или) целей социально-экономической политики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proofErr w:type="gramEnd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proofErr w:type="gramEnd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не относящихся к муниципальным программам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III. Фискальные характеристики налогового расхода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поселения 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308CC" w:rsidRPr="007C1269" w:rsidTr="009A3645">
        <w:trPr>
          <w:trHeight w:val="156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поселения </w:t>
            </w: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308CC" w:rsidRPr="007C1269" w:rsidTr="009A3645">
        <w:trPr>
          <w:trHeight w:val="6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C1269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8308C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C1269" w:rsidRDefault="008308CC" w:rsidP="000E0D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 w:rsidR="000E0D93" w:rsidRPr="007C1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C221A4" w:rsidRDefault="00C221A4">
      <w:pPr>
        <w:rPr>
          <w:rFonts w:ascii="Times New Roman" w:hAnsi="Times New Roman" w:cs="Times New Roman"/>
          <w:sz w:val="24"/>
          <w:szCs w:val="24"/>
        </w:rPr>
      </w:pPr>
    </w:p>
    <w:p w:rsidR="004D0BC5" w:rsidRDefault="004D0BC5">
      <w:pPr>
        <w:rPr>
          <w:rFonts w:ascii="Times New Roman" w:hAnsi="Times New Roman" w:cs="Times New Roman"/>
          <w:sz w:val="24"/>
          <w:szCs w:val="24"/>
        </w:rPr>
      </w:pPr>
    </w:p>
    <w:p w:rsidR="004D0BC5" w:rsidRDefault="004D0BC5">
      <w:pPr>
        <w:rPr>
          <w:rFonts w:ascii="Times New Roman" w:hAnsi="Times New Roman" w:cs="Times New Roman"/>
          <w:sz w:val="24"/>
          <w:szCs w:val="24"/>
        </w:rPr>
      </w:pPr>
    </w:p>
    <w:p w:rsidR="004D0BC5" w:rsidRDefault="004D0BC5">
      <w:pPr>
        <w:rPr>
          <w:rFonts w:ascii="Times New Roman" w:hAnsi="Times New Roman" w:cs="Times New Roman"/>
          <w:sz w:val="24"/>
          <w:szCs w:val="24"/>
        </w:rPr>
      </w:pPr>
    </w:p>
    <w:p w:rsidR="00720539" w:rsidRDefault="00A0492E" w:rsidP="00AA01C0">
      <w:pPr>
        <w:spacing w:after="0" w:line="238" w:lineRule="atLeas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sectPr w:rsidR="00720539" w:rsidSect="00A04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                        </w:t>
      </w:r>
    </w:p>
    <w:p w:rsidR="00A0492E" w:rsidRPr="00A0492E" w:rsidRDefault="00A0492E" w:rsidP="00A0492E">
      <w:pPr>
        <w:spacing w:after="0" w:line="238" w:lineRule="atLeast"/>
        <w:jc w:val="righ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lastRenderedPageBreak/>
        <w:t>Приложение 2</w:t>
      </w:r>
    </w:p>
    <w:p w:rsidR="00A0492E" w:rsidRPr="00A0492E" w:rsidRDefault="00A0492E" w:rsidP="00A0492E">
      <w:pPr>
        <w:spacing w:after="0" w:line="238" w:lineRule="atLeast"/>
        <w:jc w:val="righ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к Порядку формирования перечня</w:t>
      </w:r>
    </w:p>
    <w:p w:rsidR="00A0492E" w:rsidRPr="00A0492E" w:rsidRDefault="00A0492E" w:rsidP="00A0492E">
      <w:pPr>
        <w:spacing w:after="0" w:line="238" w:lineRule="atLeast"/>
        <w:jc w:val="righ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налоговых расходов и оценки налоговых</w:t>
      </w:r>
    </w:p>
    <w:p w:rsidR="00A0492E" w:rsidRPr="00A0492E" w:rsidRDefault="00A0492E" w:rsidP="00A0492E">
      <w:pPr>
        <w:spacing w:after="0" w:line="238" w:lineRule="atLeast"/>
        <w:jc w:val="righ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расходов Глодневского </w:t>
      </w:r>
      <w:proofErr w:type="gramStart"/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>сельского</w:t>
      </w:r>
      <w:proofErr w:type="gramEnd"/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A0492E" w:rsidRPr="00A0492E" w:rsidRDefault="00A0492E" w:rsidP="00A0492E">
      <w:pPr>
        <w:spacing w:after="0" w:line="238" w:lineRule="atLeast"/>
        <w:jc w:val="righ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поселения Брасовского муниципального    </w:t>
      </w:r>
    </w:p>
    <w:p w:rsidR="00A0492E" w:rsidRPr="00A0492E" w:rsidRDefault="00A0492E" w:rsidP="00A0492E">
      <w:pPr>
        <w:spacing w:after="0" w:line="238" w:lineRule="atLeast"/>
        <w:jc w:val="right"/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</w:pPr>
      <w:r w:rsidRPr="00A0492E">
        <w:rPr>
          <w:rFonts w:ascii="Times New Roman" w:eastAsia="Calibri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района Брянской области</w:t>
      </w:r>
    </w:p>
    <w:p w:rsidR="00A0492E" w:rsidRPr="00A0492E" w:rsidRDefault="00A0492E" w:rsidP="00A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92E" w:rsidRPr="00A0492E" w:rsidRDefault="00A0492E" w:rsidP="00A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налоговых расходах (налоговых льготах) на </w:t>
      </w:r>
      <w:proofErr w:type="gramStart"/>
      <w:r w:rsidRPr="00A0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proofErr w:type="gramEnd"/>
    </w:p>
    <w:p w:rsidR="00A0492E" w:rsidRPr="00A0492E" w:rsidRDefault="00A0492E" w:rsidP="00A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в разрезе государственных программ и их</w:t>
      </w:r>
    </w:p>
    <w:p w:rsidR="00A0492E" w:rsidRPr="00A0492E" w:rsidRDefault="00A0492E" w:rsidP="00A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элементов, а также направлений деятельности,</w:t>
      </w:r>
    </w:p>
    <w:p w:rsidR="00A0492E" w:rsidRPr="00A0492E" w:rsidRDefault="00A0492E" w:rsidP="00A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492E">
        <w:rPr>
          <w:rFonts w:ascii="Times New Roman" w:eastAsia="Times New Roman" w:hAnsi="Times New Roman" w:cs="Times New Roman"/>
          <w:lang w:eastAsia="ru-RU"/>
        </w:rPr>
        <w:t>не входящих в государственные программы</w:t>
      </w:r>
    </w:p>
    <w:p w:rsidR="00A0492E" w:rsidRPr="00A0492E" w:rsidRDefault="00A0492E" w:rsidP="00A04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1417"/>
        <w:gridCol w:w="1134"/>
        <w:gridCol w:w="1560"/>
        <w:gridCol w:w="829"/>
        <w:gridCol w:w="1077"/>
        <w:gridCol w:w="1020"/>
        <w:gridCol w:w="1054"/>
        <w:gridCol w:w="794"/>
        <w:gridCol w:w="1189"/>
        <w:gridCol w:w="1684"/>
        <w:gridCol w:w="1134"/>
        <w:gridCol w:w="1864"/>
      </w:tblGrid>
      <w:tr w:rsidR="00A0492E" w:rsidRPr="00A0492E" w:rsidTr="00A75C65">
        <w:tc>
          <w:tcPr>
            <w:tcW w:w="4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26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государственной программы Глодневского сельского поселения </w:t>
            </w:r>
          </w:p>
        </w:tc>
        <w:tc>
          <w:tcPr>
            <w:tcW w:w="141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нормативно-правового акта, устанавливающего льготу</w:t>
            </w: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(платежа)</w:t>
            </w:r>
          </w:p>
        </w:tc>
        <w:tc>
          <w:tcPr>
            <w:tcW w:w="156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Плательщик</w:t>
            </w:r>
          </w:p>
        </w:tc>
        <w:tc>
          <w:tcPr>
            <w:tcW w:w="82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Вид льготы</w:t>
            </w:r>
          </w:p>
        </w:tc>
        <w:tc>
          <w:tcPr>
            <w:tcW w:w="107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льготируемой</w:t>
            </w:r>
            <w:proofErr w:type="spellEnd"/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02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Условие предоставления</w:t>
            </w:r>
          </w:p>
        </w:tc>
        <w:tc>
          <w:tcPr>
            <w:tcW w:w="10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Начало действия льготы</w:t>
            </w:r>
          </w:p>
        </w:tc>
        <w:tc>
          <w:tcPr>
            <w:tcW w:w="79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118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Целевая категория налоговой льготы</w:t>
            </w:r>
          </w:p>
        </w:tc>
        <w:tc>
          <w:tcPr>
            <w:tcW w:w="168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 xml:space="preserve">Код вида экономической деятельности (по </w:t>
            </w:r>
            <w:hyperlink r:id="rId15" w:history="1">
              <w:r w:rsidRPr="00A0492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</w:t>
              </w:r>
            </w:hyperlink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), к которому относится налоговый расход (налоговая льгота)</w:t>
            </w: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186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Принадлежность налогового расхода (налоговой льготы) к группе полномочий в соответствии с методикой распределения дотаций на выравнивание бюджетной обеспеченности </w:t>
            </w:r>
          </w:p>
        </w:tc>
      </w:tr>
      <w:tr w:rsidR="00A0492E" w:rsidRPr="00A0492E" w:rsidTr="00A75C65">
        <w:tc>
          <w:tcPr>
            <w:tcW w:w="4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6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492E" w:rsidRPr="00A0492E" w:rsidTr="00A75C65">
        <w:tc>
          <w:tcPr>
            <w:tcW w:w="4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92E" w:rsidRPr="00A0492E" w:rsidTr="00A75C65">
        <w:tc>
          <w:tcPr>
            <w:tcW w:w="4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</w:tcPr>
          <w:p w:rsidR="00A0492E" w:rsidRPr="00A0492E" w:rsidRDefault="00A0492E" w:rsidP="00A049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0BC5" w:rsidRDefault="004D0BC5">
      <w:pPr>
        <w:rPr>
          <w:rFonts w:ascii="Times New Roman" w:hAnsi="Times New Roman" w:cs="Times New Roman"/>
          <w:sz w:val="24"/>
          <w:szCs w:val="24"/>
        </w:rPr>
      </w:pPr>
    </w:p>
    <w:p w:rsidR="004D0BC5" w:rsidRDefault="004D0BC5">
      <w:pPr>
        <w:rPr>
          <w:rFonts w:ascii="Times New Roman" w:hAnsi="Times New Roman" w:cs="Times New Roman"/>
          <w:sz w:val="24"/>
          <w:szCs w:val="24"/>
        </w:rPr>
      </w:pPr>
    </w:p>
    <w:p w:rsidR="00720539" w:rsidRDefault="00720539">
      <w:pPr>
        <w:rPr>
          <w:rFonts w:ascii="Times New Roman" w:hAnsi="Times New Roman" w:cs="Times New Roman"/>
          <w:sz w:val="24"/>
          <w:szCs w:val="24"/>
        </w:rPr>
        <w:sectPr w:rsidR="00720539" w:rsidSect="007205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0BC5" w:rsidRPr="007C1269" w:rsidRDefault="004D0BC5">
      <w:pPr>
        <w:rPr>
          <w:rFonts w:ascii="Times New Roman" w:hAnsi="Times New Roman" w:cs="Times New Roman"/>
          <w:sz w:val="24"/>
          <w:szCs w:val="24"/>
        </w:rPr>
      </w:pPr>
    </w:p>
    <w:sectPr w:rsidR="004D0BC5" w:rsidRPr="007C1269" w:rsidSect="00A0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B3A"/>
    <w:multiLevelType w:val="multilevel"/>
    <w:tmpl w:val="C9B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C"/>
    <w:rsid w:val="000601AB"/>
    <w:rsid w:val="00060FBF"/>
    <w:rsid w:val="000E0D93"/>
    <w:rsid w:val="002E7F38"/>
    <w:rsid w:val="00315C6C"/>
    <w:rsid w:val="003A41FD"/>
    <w:rsid w:val="00440910"/>
    <w:rsid w:val="004D0BC5"/>
    <w:rsid w:val="005318EA"/>
    <w:rsid w:val="00582CAC"/>
    <w:rsid w:val="005C5A19"/>
    <w:rsid w:val="005E730F"/>
    <w:rsid w:val="00606CDE"/>
    <w:rsid w:val="00720539"/>
    <w:rsid w:val="00757F61"/>
    <w:rsid w:val="007C1269"/>
    <w:rsid w:val="007D1E10"/>
    <w:rsid w:val="0080213B"/>
    <w:rsid w:val="008308CC"/>
    <w:rsid w:val="00962E78"/>
    <w:rsid w:val="009A3645"/>
    <w:rsid w:val="00A0492E"/>
    <w:rsid w:val="00AA01C0"/>
    <w:rsid w:val="00B63DFF"/>
    <w:rsid w:val="00C221A4"/>
    <w:rsid w:val="00C74DF8"/>
    <w:rsid w:val="00CC2483"/>
    <w:rsid w:val="00E3707C"/>
    <w:rsid w:val="00EC60A6"/>
    <w:rsid w:val="00FA676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18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18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2611201982.docx" TargetMode="External"/><Relationship Id="rId13" Type="http://schemas.openxmlformats.org/officeDocument/2006/relationships/hyperlink" Target="http://www.krgadm.ru/regulatory/11861/?sphrase_id=6386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1\2611201982.docx" TargetMode="External"/><Relationship Id="rId12" Type="http://schemas.openxmlformats.org/officeDocument/2006/relationships/hyperlink" Target="file:///C:\1\261120198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1\261120198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1F6FD66E87136165973264C12C6C2F90CFE0D388B90189324CB0AA26FB26155897417FC7537652C843F48DDz5jBF" TargetMode="External"/><Relationship Id="rId10" Type="http://schemas.openxmlformats.org/officeDocument/2006/relationships/hyperlink" Target="file:///C:\1\261120198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1\2611201982.docx" TargetMode="External"/><Relationship Id="rId14" Type="http://schemas.openxmlformats.org/officeDocument/2006/relationships/hyperlink" Target="file:///C:\1\26112019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8A05-E003-4BDF-B742-6C190BB4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2020-04-27T08:37:00Z</cp:lastPrinted>
  <dcterms:created xsi:type="dcterms:W3CDTF">2020-05-05T08:21:00Z</dcterms:created>
  <dcterms:modified xsi:type="dcterms:W3CDTF">2020-05-05T08:21:00Z</dcterms:modified>
</cp:coreProperties>
</file>